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lang w:val="en-US"/>
        </w:rPr>
        <w:id w:val="986995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lang w:val="tr-TR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380006" w:rsidRPr="00B0278F" w:rsidTr="001F1F4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US"/>
                </w:rPr>
                <w:alias w:val="Şirket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aps w:val="0"/>
                  <w:sz w:val="44"/>
                  <w:szCs w:val="44"/>
                </w:rPr>
              </w:sdtEndPr>
              <w:sdtContent>
                <w:tc>
                  <w:tcPr>
                    <w:tcW w:w="5000" w:type="pct"/>
                  </w:tcPr>
                  <w:p w:rsidR="00380006" w:rsidRPr="00B0278F" w:rsidRDefault="000349D2" w:rsidP="000349D2">
                    <w:pPr>
                      <w:pStyle w:val="AralkYok"/>
                      <w:rPr>
                        <w:rFonts w:asciiTheme="majorHAnsi" w:eastAsiaTheme="majorEastAsia" w:hAnsiTheme="majorHAnsi" w:cstheme="majorBidi"/>
                        <w:caps/>
                        <w:lang w:val="en-US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en-US"/>
                      </w:rPr>
                      <w:t xml:space="preserve">     </w:t>
                    </w:r>
                  </w:p>
                </w:tc>
              </w:sdtContent>
            </w:sdt>
          </w:tr>
          <w:tr w:rsidR="00380006" w:rsidRPr="00B0278F" w:rsidTr="001F1F4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  <w:lang w:val="en-US"/>
                </w:rPr>
                <w:alias w:val="Başlık"/>
                <w:id w:val="1552425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80006" w:rsidRPr="00B0278F" w:rsidRDefault="000349D2" w:rsidP="000349D2">
                    <w:pPr>
                      <w:pStyle w:val="AralkYok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  <w:t xml:space="preserve">     </w:t>
                    </w:r>
                  </w:p>
                </w:tc>
              </w:sdtContent>
            </w:sdt>
          </w:tr>
          <w:tr w:rsidR="00380006" w:rsidRPr="00B0278F" w:rsidTr="001F1F48">
            <w:trPr>
              <w:trHeight w:val="720"/>
              <w:jc w:val="center"/>
            </w:trPr>
            <w:sdt>
              <w:sdtPr>
                <w:rPr>
                  <w:rFonts w:ascii="Arial!important" w:eastAsia="Times New Roman" w:hAnsi="Arial!important" w:cs="Arial"/>
                  <w:b/>
                  <w:bCs/>
                  <w:color w:val="3F3F3F"/>
                  <w:kern w:val="36"/>
                  <w:sz w:val="33"/>
                  <w:szCs w:val="33"/>
                  <w:lang w:eastAsia="tr-TR"/>
                </w:rPr>
                <w:alias w:val="Alt Konu Başlığı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80006" w:rsidRPr="00B0278F" w:rsidRDefault="00F864C3" w:rsidP="001F1F48">
                    <w:pPr>
                      <w:pStyle w:val="AralkYok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n-US"/>
                      </w:rPr>
                    </w:pPr>
                    <w:r w:rsidRPr="008A58FE">
                      <w:rPr>
                        <w:rFonts w:ascii="Arial!important" w:eastAsia="Times New Roman" w:hAnsi="Arial!important" w:cs="Arial"/>
                        <w:b/>
                        <w:bCs/>
                        <w:color w:val="3F3F3F"/>
                        <w:kern w:val="36"/>
                        <w:sz w:val="33"/>
                        <w:szCs w:val="33"/>
                        <w:lang w:eastAsia="tr-TR"/>
                      </w:rPr>
                      <w:t>[</w:t>
                    </w:r>
                    <w:r>
                      <w:rPr>
                        <w:rFonts w:ascii="Arial!important" w:eastAsia="Times New Roman" w:hAnsi="Arial!important" w:cs="Arial"/>
                        <w:b/>
                        <w:bCs/>
                        <w:color w:val="3F3F3F"/>
                        <w:kern w:val="36"/>
                        <w:sz w:val="33"/>
                        <w:szCs w:val="33"/>
                        <w:lang w:eastAsia="tr-TR"/>
                      </w:rPr>
                      <w:t>Geçici</w:t>
                    </w:r>
                    <w:r w:rsidRPr="008A58FE">
                      <w:rPr>
                        <w:rFonts w:ascii="Arial!important" w:eastAsia="Times New Roman" w:hAnsi="Arial!important" w:cs="Arial"/>
                        <w:b/>
                        <w:bCs/>
                        <w:color w:val="3F3F3F"/>
                        <w:kern w:val="36"/>
                        <w:sz w:val="33"/>
                        <w:szCs w:val="33"/>
                        <w:lang w:eastAsia="tr-TR"/>
                      </w:rPr>
                      <w:t>]</w:t>
                    </w:r>
                  </w:p>
                </w:tc>
              </w:sdtContent>
            </w:sdt>
          </w:tr>
          <w:tr w:rsidR="00380006" w:rsidRPr="00B0278F" w:rsidTr="001F1F4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80006" w:rsidRPr="00B0278F" w:rsidRDefault="00380006" w:rsidP="001F1F48">
                <w:pPr>
                  <w:pStyle w:val="AralkYok"/>
                  <w:jc w:val="center"/>
                  <w:rPr>
                    <w:lang w:val="en-US"/>
                  </w:rPr>
                </w:pPr>
              </w:p>
            </w:tc>
          </w:tr>
          <w:tr w:rsidR="00380006" w:rsidRPr="00B0278F" w:rsidTr="001F1F4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80006" w:rsidRPr="00B0278F" w:rsidRDefault="00380006" w:rsidP="000349D2">
                <w:pPr>
                  <w:pStyle w:val="AralkYok"/>
                  <w:rPr>
                    <w:b/>
                    <w:bCs/>
                    <w:sz w:val="24"/>
                    <w:szCs w:val="24"/>
                    <w:lang w:val="en-US"/>
                  </w:rPr>
                </w:pPr>
              </w:p>
            </w:tc>
          </w:tr>
          <w:tr w:rsidR="00380006" w:rsidRPr="00B0278F" w:rsidTr="001F1F48">
            <w:trPr>
              <w:trHeight w:val="360"/>
              <w:jc w:val="center"/>
            </w:tr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alias w:val="Tarih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7-03-01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80006" w:rsidRPr="00B0278F" w:rsidRDefault="000349D2" w:rsidP="001F1F48">
                    <w:pPr>
                      <w:pStyle w:val="AralkYok"/>
                      <w:jc w:val="center"/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380006" w:rsidRPr="00B0278F" w:rsidRDefault="00380006" w:rsidP="00380006"/>
        <w:p w:rsidR="00380006" w:rsidRPr="00B0278F" w:rsidRDefault="00380006" w:rsidP="00380006">
          <w:pPr>
            <w:jc w:val="center"/>
          </w:pPr>
          <w:r w:rsidRPr="00B0278F">
            <w:rPr>
              <w:rFonts w:asciiTheme="majorHAnsi" w:eastAsiaTheme="majorEastAsia" w:hAnsiTheme="majorHAnsi" w:cstheme="majorBidi"/>
              <w:caps/>
              <w:noProof/>
              <w:lang w:eastAsia="tr-TR"/>
            </w:rPr>
            <w:drawing>
              <wp:inline distT="0" distB="0" distL="0" distR="0" wp14:anchorId="7BDD328D" wp14:editId="6FE95264">
                <wp:extent cx="3666260" cy="1830839"/>
                <wp:effectExtent l="19050" t="0" r="0" b="0"/>
                <wp:docPr id="2" name="Resim 1" descr="C:\Users\Ayhan Bayar\Desktop\amblem\amblem2.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yhan Bayar\Desktop\amblem\amblem2.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8397" cy="1831906"/>
                        </a:xfrm>
                        <a:prstGeom prst="snip2Diag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380006" w:rsidRPr="00B0278F" w:rsidTr="001F1F48">
            <w:sdt>
              <w:sdtPr>
                <w:rPr>
                  <w:rFonts w:asciiTheme="majorHAnsi" w:eastAsia="Times New Roman" w:hAnsiTheme="majorHAnsi" w:cs="Times New Roman"/>
                  <w:bCs/>
                  <w:i/>
                  <w:lang w:val="en-US" w:eastAsia="tr-TR"/>
                </w:rPr>
                <w:alias w:val="Öze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380006" w:rsidRPr="00B0278F" w:rsidRDefault="00380006" w:rsidP="001F1F48">
                    <w:pPr>
                      <w:pStyle w:val="AralkYok"/>
                      <w:rPr>
                        <w:rFonts w:asciiTheme="majorHAnsi" w:hAnsiTheme="majorHAnsi"/>
                        <w:i/>
                        <w:lang w:val="en-US"/>
                      </w:rPr>
                    </w:pPr>
                    <w:r w:rsidRPr="00B0278F">
                      <w:rPr>
                        <w:rFonts w:asciiTheme="majorHAnsi" w:eastAsia="Times New Roman" w:hAnsiTheme="majorHAnsi" w:cs="Times New Roman"/>
                        <w:bCs/>
                        <w:i/>
                        <w:lang w:val="en-US" w:eastAsia="tr-TR"/>
                      </w:rPr>
                      <w:t>*</w:t>
                    </w:r>
                  </w:p>
                </w:tc>
              </w:sdtContent>
            </w:sdt>
          </w:tr>
        </w:tbl>
        <w:p w:rsidR="00F864C3" w:rsidRDefault="00F864C3" w:rsidP="00F864C3">
          <w:pPr>
            <w:pStyle w:val="Balk1"/>
            <w:shd w:val="clear" w:color="auto" w:fill="FFFFFF"/>
            <w:spacing w:before="90" w:beforeAutospacing="0" w:after="105" w:afterAutospacing="0" w:line="600" w:lineRule="atLeast"/>
            <w:rPr>
              <w:rFonts w:ascii="Arial" w:hAnsi="Arial" w:cs="Arial"/>
              <w:b w:val="0"/>
              <w:bCs w:val="0"/>
              <w:color w:val="1E73BE"/>
              <w:spacing w:val="-5"/>
              <w:sz w:val="30"/>
              <w:szCs w:val="30"/>
            </w:rPr>
          </w:pPr>
          <w:r>
            <w:rPr>
              <w:rFonts w:ascii="Arial" w:hAnsi="Arial" w:cs="Arial"/>
              <w:b w:val="0"/>
              <w:bCs w:val="0"/>
              <w:color w:val="1E73BE"/>
              <w:spacing w:val="-5"/>
              <w:sz w:val="30"/>
              <w:szCs w:val="30"/>
            </w:rPr>
            <w:t>Geçici Vergi Nedir? Nasıl Uygulanır?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Style w:val="Gl"/>
              <w:rFonts w:ascii="Verdana" w:hAnsi="Verdana"/>
              <w:sz w:val="21"/>
              <w:szCs w:val="21"/>
            </w:rPr>
          </w:pP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color w:val="222222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Hangi Kazançlar Geçici Vergi Kapsamına Girer?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Fonts w:ascii="Verdana" w:hAnsi="Verdana"/>
              <w:color w:val="222222"/>
              <w:sz w:val="21"/>
              <w:szCs w:val="21"/>
            </w:rPr>
            <w:t>Gerçek usulde vergilendirilen;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1-</w:t>
          </w:r>
          <w:r>
            <w:rPr>
              <w:rFonts w:ascii="Verdana" w:hAnsi="Verdana"/>
              <w:color w:val="222222"/>
              <w:sz w:val="21"/>
              <w:szCs w:val="21"/>
            </w:rPr>
            <w:t> Ticari kazanç sahipleri</w:t>
          </w:r>
          <w:r>
            <w:rPr>
              <w:rFonts w:ascii="Verdana" w:hAnsi="Verdana"/>
              <w:color w:val="222222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2-</w:t>
          </w:r>
          <w:r>
            <w:rPr>
              <w:rFonts w:ascii="Verdana" w:hAnsi="Verdana"/>
              <w:color w:val="222222"/>
              <w:sz w:val="21"/>
              <w:szCs w:val="21"/>
            </w:rPr>
            <w:t> Serbest meslek erbabı</w:t>
          </w:r>
          <w:r>
            <w:rPr>
              <w:rFonts w:ascii="Verdana" w:hAnsi="Verdana"/>
              <w:color w:val="222222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3-</w:t>
          </w:r>
          <w:r>
            <w:rPr>
              <w:rFonts w:ascii="Verdana" w:hAnsi="Verdana"/>
              <w:color w:val="222222"/>
              <w:sz w:val="21"/>
              <w:szCs w:val="21"/>
            </w:rPr>
            <w:t xml:space="preserve"> Kurumlar vergisi mükellefleri cari vergilendirme döneminin gelir ve kurumlar vergisine mahsup edilmek </w:t>
          </w:r>
          <w:proofErr w:type="gramStart"/>
          <w:r>
            <w:rPr>
              <w:rFonts w:ascii="Verdana" w:hAnsi="Verdana"/>
              <w:color w:val="222222"/>
              <w:sz w:val="21"/>
              <w:szCs w:val="21"/>
            </w:rPr>
            <w:t>üzere  geçici</w:t>
          </w:r>
          <w:proofErr w:type="gramEnd"/>
          <w:r>
            <w:rPr>
              <w:rFonts w:ascii="Verdana" w:hAnsi="Verdana"/>
              <w:color w:val="222222"/>
              <w:sz w:val="21"/>
              <w:szCs w:val="21"/>
            </w:rPr>
            <w:t xml:space="preserve"> vergi ödemek zorundadırlar.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Fonts w:ascii="Verdana" w:hAnsi="Verdana"/>
              <w:color w:val="222222"/>
              <w:sz w:val="21"/>
              <w:szCs w:val="21"/>
            </w:rPr>
            <w:t xml:space="preserve">Adi ortaklıklar, </w:t>
          </w:r>
          <w:proofErr w:type="spellStart"/>
          <w:r>
            <w:rPr>
              <w:rFonts w:ascii="Verdana" w:hAnsi="Verdana"/>
              <w:color w:val="222222"/>
              <w:sz w:val="21"/>
              <w:szCs w:val="21"/>
            </w:rPr>
            <w:t>kollektif</w:t>
          </w:r>
          <w:proofErr w:type="spellEnd"/>
          <w:r>
            <w:rPr>
              <w:rFonts w:ascii="Verdana" w:hAnsi="Verdana"/>
              <w:color w:val="222222"/>
              <w:sz w:val="21"/>
              <w:szCs w:val="21"/>
            </w:rPr>
            <w:t xml:space="preserve"> şirketler ve </w:t>
          </w:r>
          <w:proofErr w:type="gramStart"/>
          <w:r>
            <w:rPr>
              <w:rFonts w:ascii="Verdana" w:hAnsi="Verdana"/>
              <w:color w:val="222222"/>
              <w:sz w:val="21"/>
              <w:szCs w:val="21"/>
            </w:rPr>
            <w:t>adi  komandit</w:t>
          </w:r>
          <w:proofErr w:type="gramEnd"/>
          <w:r>
            <w:rPr>
              <w:rFonts w:ascii="Verdana" w:hAnsi="Verdana"/>
              <w:color w:val="222222"/>
              <w:sz w:val="21"/>
              <w:szCs w:val="21"/>
            </w:rPr>
            <w:t xml:space="preserve"> şirketler, ortaklık olarak gelir veya kurumlar vergisi mükellefi  olmadıklarından geçici vergi mükellefi değillerdir.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Fonts w:ascii="Verdana" w:hAnsi="Verdana"/>
              <w:color w:val="222222"/>
              <w:sz w:val="21"/>
              <w:szCs w:val="21"/>
            </w:rPr>
            <w:t xml:space="preserve">Ancak adi ortaklıklar </w:t>
          </w:r>
          <w:proofErr w:type="gramStart"/>
          <w:r>
            <w:rPr>
              <w:rFonts w:ascii="Verdana" w:hAnsi="Verdana"/>
              <w:color w:val="222222"/>
              <w:sz w:val="21"/>
              <w:szCs w:val="21"/>
            </w:rPr>
            <w:t xml:space="preserve">ile  </w:t>
          </w:r>
          <w:proofErr w:type="spellStart"/>
          <w:r>
            <w:rPr>
              <w:rFonts w:ascii="Verdana" w:hAnsi="Verdana"/>
              <w:color w:val="222222"/>
              <w:sz w:val="21"/>
              <w:szCs w:val="21"/>
            </w:rPr>
            <w:t>kollektif</w:t>
          </w:r>
          <w:proofErr w:type="spellEnd"/>
          <w:proofErr w:type="gramEnd"/>
          <w:r>
            <w:rPr>
              <w:rFonts w:ascii="Verdana" w:hAnsi="Verdana"/>
              <w:color w:val="222222"/>
              <w:sz w:val="21"/>
              <w:szCs w:val="21"/>
            </w:rPr>
            <w:t xml:space="preserve"> şirketlerde ortakların, komandit şirketlerde komandite ortakların  elde ettikleri kazançlar geçici verginin konusuna girmektedir.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Kimler Geçici Vergi Beyanı Vermez?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1-</w:t>
          </w:r>
          <w:r>
            <w:rPr>
              <w:rFonts w:ascii="Verdana" w:hAnsi="Verdana"/>
              <w:color w:val="222222"/>
              <w:sz w:val="21"/>
              <w:szCs w:val="21"/>
            </w:rPr>
            <w:t> Tasfiye halindeki kurumlar  vergisi mükellefleri tasfiye dönemlerinde,</w:t>
          </w:r>
          <w:r>
            <w:rPr>
              <w:rFonts w:ascii="Verdana" w:hAnsi="Verdana"/>
              <w:color w:val="222222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2-</w:t>
          </w:r>
          <w:r>
            <w:rPr>
              <w:rFonts w:ascii="Verdana" w:hAnsi="Verdana"/>
              <w:color w:val="222222"/>
              <w:sz w:val="21"/>
              <w:szCs w:val="21"/>
            </w:rPr>
            <w:t> Basit usulde vergilendirilen gelir  vergisi mükellefleri,</w:t>
          </w:r>
          <w:r>
            <w:rPr>
              <w:rFonts w:ascii="Verdana" w:hAnsi="Verdana"/>
              <w:color w:val="222222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3-</w:t>
          </w:r>
          <w:r>
            <w:rPr>
              <w:rFonts w:ascii="Verdana" w:hAnsi="Verdana"/>
              <w:color w:val="222222"/>
              <w:sz w:val="21"/>
              <w:szCs w:val="21"/>
            </w:rPr>
            <w:t> Yıllara sâri inşaat ve onarma işi yapanlar,</w:t>
          </w:r>
          <w:r>
            <w:rPr>
              <w:rFonts w:ascii="Verdana" w:hAnsi="Verdana"/>
              <w:color w:val="222222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4-</w:t>
          </w:r>
          <w:r>
            <w:rPr>
              <w:rFonts w:ascii="Verdana" w:hAnsi="Verdana"/>
              <w:color w:val="222222"/>
              <w:sz w:val="21"/>
              <w:szCs w:val="21"/>
            </w:rPr>
            <w:t> Ücret geliri  elde edenler,</w:t>
          </w:r>
          <w:r>
            <w:rPr>
              <w:rFonts w:ascii="Verdana" w:hAnsi="Verdana"/>
              <w:color w:val="222222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5-</w:t>
          </w:r>
          <w:r>
            <w:rPr>
              <w:rFonts w:ascii="Verdana" w:hAnsi="Verdana"/>
              <w:color w:val="222222"/>
              <w:sz w:val="21"/>
              <w:szCs w:val="21"/>
            </w:rPr>
            <w:t> Menkul ve gayrimenkul sermaye iradı sahipleri,</w:t>
          </w:r>
          <w:r>
            <w:rPr>
              <w:rFonts w:ascii="Verdana" w:hAnsi="Verdana"/>
              <w:color w:val="222222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6-</w:t>
          </w:r>
          <w:r>
            <w:rPr>
              <w:rFonts w:ascii="Verdana" w:hAnsi="Verdana"/>
              <w:color w:val="222222"/>
              <w:sz w:val="21"/>
              <w:szCs w:val="21"/>
            </w:rPr>
            <w:t> Zirai kazanç  sahipleri,</w:t>
          </w:r>
          <w:r>
            <w:rPr>
              <w:rFonts w:ascii="Verdana" w:hAnsi="Verdana"/>
              <w:color w:val="222222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7-</w:t>
          </w:r>
          <w:r>
            <w:rPr>
              <w:rFonts w:ascii="Verdana" w:hAnsi="Verdana"/>
              <w:color w:val="222222"/>
              <w:sz w:val="21"/>
              <w:szCs w:val="21"/>
            </w:rPr>
            <w:t> Diğer kazanç ve irat elde edenler (Örneğin değer artış kazancı)</w:t>
          </w:r>
          <w:r>
            <w:rPr>
              <w:rFonts w:ascii="Verdana" w:hAnsi="Verdana"/>
              <w:color w:val="222222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8-</w:t>
          </w:r>
          <w:r>
            <w:rPr>
              <w:rFonts w:ascii="Verdana" w:hAnsi="Verdana"/>
              <w:color w:val="222222"/>
              <w:sz w:val="21"/>
              <w:szCs w:val="21"/>
            </w:rPr>
            <w:t> Kazançları vergiden istisna  edilen serbest meslek erbabı ile noterlik görevini ifa ile mükellef olanlar </w:t>
          </w:r>
          <w:r>
            <w:rPr>
              <w:rStyle w:val="Gl"/>
              <w:rFonts w:ascii="Verdana" w:hAnsi="Verdana"/>
              <w:color w:val="1E73BE"/>
              <w:sz w:val="21"/>
              <w:szCs w:val="21"/>
              <w:u w:val="single"/>
            </w:rPr>
            <w:t>geçici vergi ödemezler.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808080"/>
              <w:sz w:val="21"/>
              <w:szCs w:val="21"/>
              <w:u w:val="single"/>
            </w:rPr>
            <w:t xml:space="preserve">Ancak, geçici vergi ödemeyeceği belirtilen kişiler </w:t>
          </w:r>
          <w:proofErr w:type="gramStart"/>
          <w:r>
            <w:rPr>
              <w:rStyle w:val="Gl"/>
              <w:rFonts w:ascii="Verdana" w:hAnsi="Verdana"/>
              <w:color w:val="808080"/>
              <w:sz w:val="21"/>
              <w:szCs w:val="21"/>
              <w:u w:val="single"/>
            </w:rPr>
            <w:t>bu  işlerinden</w:t>
          </w:r>
          <w:proofErr w:type="gramEnd"/>
          <w:r>
            <w:rPr>
              <w:rStyle w:val="Gl"/>
              <w:rFonts w:ascii="Verdana" w:hAnsi="Verdana"/>
              <w:color w:val="808080"/>
              <w:sz w:val="21"/>
              <w:szCs w:val="21"/>
              <w:u w:val="single"/>
            </w:rPr>
            <w:t xml:space="preserve"> elde ettikleri kazançları dışında kalan ticari veya mesleki  kazançları nedeniyle geçici vergi ödemek zorundadırlar.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Style w:val="Gl"/>
              <w:color w:val="1E73BE"/>
            </w:rPr>
          </w:pP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Style w:val="Gl"/>
              <w:rFonts w:ascii="Verdana" w:hAnsi="Verdana"/>
              <w:color w:val="1E73BE"/>
              <w:sz w:val="21"/>
              <w:szCs w:val="21"/>
            </w:rPr>
          </w:pP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color w:val="222222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Geçici Vergi Oranları Nedir?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Fonts w:ascii="Verdana" w:hAnsi="Verdana"/>
              <w:color w:val="222222"/>
              <w:sz w:val="21"/>
              <w:szCs w:val="21"/>
            </w:rPr>
            <w:t>Geçici vergi oranı,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1-</w:t>
          </w:r>
          <w:r>
            <w:rPr>
              <w:rFonts w:ascii="Verdana" w:hAnsi="Verdana"/>
              <w:color w:val="222222"/>
              <w:sz w:val="21"/>
              <w:szCs w:val="21"/>
            </w:rPr>
            <w:t> Gelir Vergisi mükellefleri için, %15 (gelir vergisi tarifesinin ilk diliminde yer alan oran)</w:t>
          </w:r>
          <w:r>
            <w:rPr>
              <w:rFonts w:ascii="Verdana" w:hAnsi="Verdana"/>
              <w:color w:val="222222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2-</w:t>
          </w:r>
          <w:r>
            <w:rPr>
              <w:rFonts w:ascii="Verdana" w:hAnsi="Verdana"/>
              <w:color w:val="222222"/>
              <w:sz w:val="21"/>
              <w:szCs w:val="21"/>
            </w:rPr>
            <w:t xml:space="preserve"> Kurumlar Vergisi </w:t>
          </w:r>
          <w:proofErr w:type="spellStart"/>
          <w:r>
            <w:rPr>
              <w:rFonts w:ascii="Verdana" w:hAnsi="Verdana"/>
              <w:color w:val="222222"/>
              <w:sz w:val="21"/>
              <w:szCs w:val="21"/>
            </w:rPr>
            <w:t>Vergisi</w:t>
          </w:r>
          <w:proofErr w:type="spellEnd"/>
          <w:r>
            <w:rPr>
              <w:rFonts w:ascii="Verdana" w:hAnsi="Verdana"/>
              <w:color w:val="222222"/>
              <w:sz w:val="21"/>
              <w:szCs w:val="21"/>
            </w:rPr>
            <w:t xml:space="preserve"> mükellefleri için %22 olarak uygulanır.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Geçici Vergi Nasıl Hesaplanır?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1-</w:t>
          </w:r>
          <w:r>
            <w:rPr>
              <w:rFonts w:ascii="Verdana" w:hAnsi="Verdana"/>
              <w:color w:val="222222"/>
              <w:sz w:val="21"/>
              <w:szCs w:val="21"/>
            </w:rPr>
            <w:t> Gelir vergisi mükellefleri için geçici vergi ilgili hesap döneminin üçer aylık kazançlarına, gelir vergisi tarifesinin ilk diliminde yer alan oranın (%15) uygulanması suretiyle hesaplanacaktır.</w:t>
          </w:r>
          <w:r>
            <w:rPr>
              <w:rFonts w:ascii="Verdana" w:hAnsi="Verdana"/>
              <w:color w:val="222222"/>
              <w:sz w:val="21"/>
              <w:szCs w:val="21"/>
            </w:rPr>
            <w:br/>
          </w: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lastRenderedPageBreak/>
            <w:t>2-</w:t>
          </w:r>
          <w:r>
            <w:rPr>
              <w:rFonts w:ascii="Verdana" w:hAnsi="Verdana"/>
              <w:color w:val="222222"/>
              <w:sz w:val="21"/>
              <w:szCs w:val="21"/>
            </w:rPr>
            <w:t> Kurumlar vergisi mükellefleri için geçici vergi oranı safi kurum kazancı üzerinden %20 olarak uygulanır.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Fonts w:ascii="Verdana" w:hAnsi="Verdana"/>
              <w:color w:val="222222"/>
              <w:sz w:val="21"/>
              <w:szCs w:val="21"/>
            </w:rPr>
            <w:t xml:space="preserve">Hesaplanan geçici vergiden varsa aynı hesap dönemi ile ilgili olarak daha önce ödenmiş geçici vergi ve geçici vergiye tabi kazançlarla ilgili olarak </w:t>
          </w:r>
          <w:proofErr w:type="spellStart"/>
          <w:r>
            <w:rPr>
              <w:rFonts w:ascii="Verdana" w:hAnsi="Verdana"/>
              <w:color w:val="222222"/>
              <w:sz w:val="21"/>
              <w:szCs w:val="21"/>
            </w:rPr>
            <w:t>tevkifat</w:t>
          </w:r>
          <w:proofErr w:type="spellEnd"/>
          <w:r>
            <w:rPr>
              <w:rFonts w:ascii="Verdana" w:hAnsi="Verdana"/>
              <w:color w:val="222222"/>
              <w:sz w:val="21"/>
              <w:szCs w:val="21"/>
            </w:rPr>
            <w:t xml:space="preserve"> yoluyla ödenmiş vergiler mahsup edilecek, mahsuptan sonra kalan tutar ödenmesi gereken geçici vergi olarak beyan edilecektir.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Geçici Vergi Hesaplanırken İndirim ve İstisnalar da uygulanır mı?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Fonts w:ascii="Verdana" w:hAnsi="Verdana"/>
              <w:color w:val="222222"/>
              <w:sz w:val="21"/>
              <w:szCs w:val="21"/>
            </w:rPr>
            <w:t>Mükellefler, geçici vergiye tabi kazançlarının tespiti sırasında gelir veya kurumlar vergisi beyannamesinde dikkate alabilecekleri tüm indirim ve istisnalardan yararlanabilirler.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Style w:val="Gl"/>
              <w:color w:val="1E73BE"/>
            </w:rPr>
          </w:pP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color w:val="222222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Geçici Vergi Beyanının Eksik Beyan edilmesi halinde ne yapılır?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Fonts w:ascii="Verdana" w:hAnsi="Verdana"/>
              <w:color w:val="222222"/>
              <w:sz w:val="21"/>
              <w:szCs w:val="21"/>
            </w:rPr>
            <w:t xml:space="preserve">Geçmiş dönemlere ilişkin </w:t>
          </w:r>
          <w:proofErr w:type="gramStart"/>
          <w:r>
            <w:rPr>
              <w:rFonts w:ascii="Verdana" w:hAnsi="Verdana"/>
              <w:color w:val="222222"/>
              <w:sz w:val="21"/>
              <w:szCs w:val="21"/>
            </w:rPr>
            <w:t>geçici  verginin</w:t>
          </w:r>
          <w:proofErr w:type="gramEnd"/>
          <w:r>
            <w:rPr>
              <w:rFonts w:ascii="Verdana" w:hAnsi="Verdana"/>
              <w:color w:val="222222"/>
              <w:sz w:val="21"/>
              <w:szCs w:val="21"/>
            </w:rPr>
            <w:t xml:space="preserve"> %10’u aşan tutarda eksik beyan edilmesi durumunda eksik beyan edilen  kısım için yapılacak </w:t>
          </w:r>
          <w:proofErr w:type="spellStart"/>
          <w:r>
            <w:rPr>
              <w:rFonts w:ascii="Verdana" w:hAnsi="Verdana"/>
              <w:color w:val="222222"/>
              <w:sz w:val="21"/>
              <w:szCs w:val="21"/>
            </w:rPr>
            <w:t>re’sen</w:t>
          </w:r>
          <w:proofErr w:type="spellEnd"/>
          <w:r>
            <w:rPr>
              <w:rFonts w:ascii="Verdana" w:hAnsi="Verdana"/>
              <w:color w:val="222222"/>
              <w:sz w:val="21"/>
              <w:szCs w:val="21"/>
            </w:rPr>
            <w:t xml:space="preserve"> veya </w:t>
          </w:r>
          <w:proofErr w:type="spellStart"/>
          <w:r>
            <w:rPr>
              <w:rFonts w:ascii="Verdana" w:hAnsi="Verdana"/>
              <w:color w:val="222222"/>
              <w:sz w:val="21"/>
              <w:szCs w:val="21"/>
            </w:rPr>
            <w:t>ikmalen</w:t>
          </w:r>
          <w:proofErr w:type="spellEnd"/>
          <w:r>
            <w:rPr>
              <w:rFonts w:ascii="Verdana" w:hAnsi="Verdana"/>
              <w:color w:val="222222"/>
              <w:sz w:val="21"/>
              <w:szCs w:val="21"/>
            </w:rPr>
            <w:t xml:space="preserve"> tarhiyata vergi </w:t>
          </w:r>
          <w:proofErr w:type="spellStart"/>
          <w:r>
            <w:rPr>
              <w:rFonts w:ascii="Verdana" w:hAnsi="Verdana"/>
              <w:color w:val="222222"/>
              <w:sz w:val="21"/>
              <w:szCs w:val="21"/>
            </w:rPr>
            <w:t>ziyai</w:t>
          </w:r>
          <w:proofErr w:type="spellEnd"/>
          <w:r>
            <w:rPr>
              <w:rFonts w:ascii="Verdana" w:hAnsi="Verdana"/>
              <w:color w:val="222222"/>
              <w:sz w:val="21"/>
              <w:szCs w:val="21"/>
            </w:rPr>
            <w:t xml:space="preserve"> cezası ile  gecikme faizi uygulanır. </w:t>
          </w:r>
          <w:r>
            <w:rPr>
              <w:rStyle w:val="Gl"/>
              <w:rFonts w:ascii="Verdana" w:hAnsi="Verdana"/>
              <w:color w:val="808080"/>
              <w:sz w:val="21"/>
              <w:szCs w:val="21"/>
              <w:u w:val="single"/>
            </w:rPr>
            <w:t>%10’luk yanılma payının beyan edilmesi gereken (</w:t>
          </w:r>
          <w:proofErr w:type="gramStart"/>
          <w:r>
            <w:rPr>
              <w:rStyle w:val="Gl"/>
              <w:rFonts w:ascii="Verdana" w:hAnsi="Verdana"/>
              <w:color w:val="808080"/>
              <w:sz w:val="21"/>
              <w:szCs w:val="21"/>
              <w:u w:val="single"/>
            </w:rPr>
            <w:t>beyan  edilmiş</w:t>
          </w:r>
          <w:proofErr w:type="gramEnd"/>
          <w:r>
            <w:rPr>
              <w:rStyle w:val="Gl"/>
              <w:rFonts w:ascii="Verdana" w:hAnsi="Verdana"/>
              <w:color w:val="808080"/>
              <w:sz w:val="21"/>
              <w:szCs w:val="21"/>
              <w:u w:val="single"/>
            </w:rPr>
            <w:t xml:space="preserve"> olan değil) geçici vergi matrahı üzerinden hesaplanması gerekmektedir.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Geçici Vergi ödenmezse Gecikme Zammı nasıl hesaplanır?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Fonts w:ascii="Verdana" w:hAnsi="Verdana"/>
              <w:color w:val="222222"/>
              <w:sz w:val="21"/>
              <w:szCs w:val="21"/>
            </w:rPr>
            <w:t xml:space="preserve">Tahakkuk ettirilmiş ancak ödenmemiş olması dolayısıyla yıllık beyanname üzerinden hesaplanan vergiden mahsup </w:t>
          </w:r>
          <w:proofErr w:type="gramStart"/>
          <w:r>
            <w:rPr>
              <w:rFonts w:ascii="Verdana" w:hAnsi="Verdana"/>
              <w:color w:val="222222"/>
              <w:sz w:val="21"/>
              <w:szCs w:val="21"/>
            </w:rPr>
            <w:t>imkanı</w:t>
          </w:r>
          <w:proofErr w:type="gramEnd"/>
          <w:r>
            <w:rPr>
              <w:rFonts w:ascii="Verdana" w:hAnsi="Verdana"/>
              <w:color w:val="222222"/>
              <w:sz w:val="21"/>
              <w:szCs w:val="21"/>
            </w:rPr>
            <w:t xml:space="preserve"> bulunmayan geçici vergi tutarları terkin edilir.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Fonts w:ascii="Verdana" w:hAnsi="Verdana"/>
              <w:color w:val="222222"/>
              <w:sz w:val="21"/>
              <w:szCs w:val="21"/>
            </w:rPr>
            <w:t>Terkin edilen geçici vergi tutarı için vade tarihinden terkin edilmesi gereken tarih olan yıllık beyannamenin verilmesi gereken kanuni sürenin başlangıç tarihine kadar gecikme zammı uygulanır.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Ödenmeyen geçici vergi yıllık beyanname üzerinden hesaplanan gelir veya Kurumlar vergisinden mahsup edilir mi?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Fonts w:ascii="Verdana" w:hAnsi="Verdana"/>
              <w:color w:val="222222"/>
              <w:sz w:val="21"/>
              <w:szCs w:val="21"/>
            </w:rPr>
            <w:t>Tahakkuk ettirilmiş, ancak ödenmemiş geçici verginin yıllık beyanname üzerinden hesaplanan gelir veya kurumlar vergisinden mahsup edilmesi mümkün değildir. Mahsup işleminin yapılabilmesi için tahakkuk ettirilmiş geçici verginin ödenmiş olması şarttır.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Bir önceki dönemde/dönemlerde ödenmemiş olan geçici vergi sonraki dönem geçici vergi beyannameleri üzerinden hesaplanan geçici vergiden mahsup edilebilir mi?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Fonts w:ascii="Verdana" w:hAnsi="Verdana"/>
              <w:color w:val="222222"/>
              <w:sz w:val="21"/>
              <w:szCs w:val="21"/>
            </w:rPr>
            <w:t>Yıl içinde bir önceki dönemde ödenmemiş olan geçici verginin ödenme şartına bağlı olmaksızın bir sonraki dönem beyannamesinden mahsubu mümkündür.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Fonts w:ascii="Verdana" w:hAnsi="Verdana"/>
              <w:color w:val="222222"/>
              <w:sz w:val="21"/>
              <w:szCs w:val="21"/>
            </w:rPr>
            <w:t>Ödenmiş olma şartı yıllık gelir vergisi beyannamesinden mahsup yaparken aranmaktadır.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Fonts w:ascii="Verdana" w:hAnsi="Verdana"/>
              <w:color w:val="222222"/>
              <w:sz w:val="21"/>
              <w:szCs w:val="21"/>
            </w:rPr>
            <w:t>Yıllık beyanname üzerinden hesaplanan gelir veya kurumlar vergisinden ilgili hesap dönemine ilişkin geçici vergi dönemlerinde ödenen geçici vergi mahsup edilir.</w:t>
          </w:r>
          <w:r>
            <w:rPr>
              <w:rStyle w:val="Gl"/>
              <w:rFonts w:ascii="Verdana" w:hAnsi="Verdana"/>
              <w:color w:val="222222"/>
              <w:sz w:val="21"/>
              <w:szCs w:val="21"/>
            </w:rPr>
            <w:t> 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lastRenderedPageBreak/>
            <w:t>Tahakkuk eden ancak ödenmeyen geçici vergi için ne yapılır?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Fonts w:ascii="Verdana" w:hAnsi="Verdana"/>
              <w:color w:val="222222"/>
              <w:sz w:val="21"/>
              <w:szCs w:val="21"/>
            </w:rPr>
            <w:t xml:space="preserve">Üçer aylık kazançlar </w:t>
          </w:r>
          <w:proofErr w:type="gramStart"/>
          <w:r>
            <w:rPr>
              <w:rFonts w:ascii="Verdana" w:hAnsi="Verdana"/>
              <w:color w:val="222222"/>
              <w:sz w:val="21"/>
              <w:szCs w:val="21"/>
            </w:rPr>
            <w:t>üzerinden  tahakkuk</w:t>
          </w:r>
          <w:proofErr w:type="gramEnd"/>
          <w:r>
            <w:rPr>
              <w:rFonts w:ascii="Verdana" w:hAnsi="Verdana"/>
              <w:color w:val="222222"/>
              <w:sz w:val="21"/>
              <w:szCs w:val="21"/>
            </w:rPr>
            <w:t xml:space="preserve"> ettirilmiş, ancak ödenmemesi nedeniyle yıllık beyanname üzerinden  hesaplanan vergiden mahsup imkânı bulunmayan geçici vergi tutarları terkin  edilir.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Fonts w:ascii="Verdana" w:hAnsi="Verdana"/>
              <w:color w:val="222222"/>
              <w:sz w:val="21"/>
              <w:szCs w:val="21"/>
            </w:rPr>
            <w:t xml:space="preserve">Terkin edilen geçici vergi tutarına, vade tarihinden terkin </w:t>
          </w:r>
          <w:proofErr w:type="gramStart"/>
          <w:r>
            <w:rPr>
              <w:rFonts w:ascii="Verdana" w:hAnsi="Verdana"/>
              <w:color w:val="222222"/>
              <w:sz w:val="21"/>
              <w:szCs w:val="21"/>
            </w:rPr>
            <w:t>edilmesi  gereken</w:t>
          </w:r>
          <w:proofErr w:type="gramEnd"/>
          <w:r>
            <w:rPr>
              <w:rFonts w:ascii="Verdana" w:hAnsi="Verdana"/>
              <w:color w:val="222222"/>
              <w:sz w:val="21"/>
              <w:szCs w:val="21"/>
            </w:rPr>
            <w:t xml:space="preserve"> tarihe (gelir vergisi mükellefleri için 1 Mart, kurumlar vergisi  mükellefleri için 1 Nisan) kadar gecikme zammı uygulanır.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 xml:space="preserve">Ödenen </w:t>
          </w:r>
          <w:proofErr w:type="spellStart"/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Bağ-Kur</w:t>
          </w:r>
          <w:proofErr w:type="spellEnd"/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 xml:space="preserve"> primleri geçici vergi beyannamesinden indirilebilir mi?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Fonts w:ascii="Verdana" w:hAnsi="Verdana"/>
              <w:color w:val="222222"/>
              <w:sz w:val="21"/>
              <w:szCs w:val="21"/>
            </w:rPr>
            <w:t xml:space="preserve">Gelirin elde edildiği </w:t>
          </w:r>
          <w:proofErr w:type="gramStart"/>
          <w:r>
            <w:rPr>
              <w:rFonts w:ascii="Verdana" w:hAnsi="Verdana"/>
              <w:color w:val="222222"/>
              <w:sz w:val="21"/>
              <w:szCs w:val="21"/>
            </w:rPr>
            <w:t>yılda  ödenmiş</w:t>
          </w:r>
          <w:proofErr w:type="gramEnd"/>
          <w:r>
            <w:rPr>
              <w:rFonts w:ascii="Verdana" w:hAnsi="Verdana"/>
              <w:color w:val="222222"/>
              <w:sz w:val="21"/>
              <w:szCs w:val="21"/>
            </w:rPr>
            <w:t xml:space="preserve"> olduğunun ödeme belgesiyle ibraz edilmesi </w:t>
          </w:r>
          <w:proofErr w:type="spellStart"/>
          <w:r>
            <w:rPr>
              <w:rFonts w:ascii="Verdana" w:hAnsi="Verdana"/>
              <w:color w:val="222222"/>
              <w:sz w:val="21"/>
              <w:szCs w:val="21"/>
            </w:rPr>
            <w:t>edilmesi</w:t>
          </w:r>
          <w:proofErr w:type="spellEnd"/>
          <w:r>
            <w:rPr>
              <w:rFonts w:ascii="Verdana" w:hAnsi="Verdana"/>
              <w:color w:val="222222"/>
              <w:sz w:val="21"/>
              <w:szCs w:val="21"/>
            </w:rPr>
            <w:t xml:space="preserve"> kaydıyla, </w:t>
          </w:r>
          <w:proofErr w:type="spellStart"/>
          <w:r>
            <w:rPr>
              <w:rFonts w:ascii="Verdana" w:hAnsi="Verdana"/>
              <w:color w:val="222222"/>
              <w:sz w:val="21"/>
              <w:szCs w:val="21"/>
            </w:rPr>
            <w:t>bağ-kur</w:t>
          </w:r>
          <w:proofErr w:type="spellEnd"/>
          <w:r>
            <w:rPr>
              <w:rFonts w:ascii="Verdana" w:hAnsi="Verdana"/>
              <w:color w:val="222222"/>
              <w:sz w:val="21"/>
              <w:szCs w:val="21"/>
            </w:rPr>
            <w:t xml:space="preserve"> primleri, kazançla sınırlı  olarak indirilebilecektir. Dönem sonunda yıllık beyannamede beyan edilen </w:t>
          </w:r>
          <w:proofErr w:type="gramStart"/>
          <w:r>
            <w:rPr>
              <w:rFonts w:ascii="Verdana" w:hAnsi="Verdana"/>
              <w:color w:val="222222"/>
              <w:sz w:val="21"/>
              <w:szCs w:val="21"/>
            </w:rPr>
            <w:t>kazanç  olmaması</w:t>
          </w:r>
          <w:proofErr w:type="gramEnd"/>
          <w:r>
            <w:rPr>
              <w:rFonts w:ascii="Verdana" w:hAnsi="Verdana"/>
              <w:color w:val="222222"/>
              <w:sz w:val="21"/>
              <w:szCs w:val="21"/>
            </w:rPr>
            <w:t xml:space="preserve"> veya yetersiz olması halinde, geçici vergi dönemlerinde indirilen  ödenmiş </w:t>
          </w:r>
          <w:proofErr w:type="spellStart"/>
          <w:r>
            <w:rPr>
              <w:rFonts w:ascii="Verdana" w:hAnsi="Verdana"/>
              <w:color w:val="222222"/>
              <w:sz w:val="21"/>
              <w:szCs w:val="21"/>
            </w:rPr>
            <w:t>bağ-kur</w:t>
          </w:r>
          <w:proofErr w:type="spellEnd"/>
          <w:r>
            <w:rPr>
              <w:rFonts w:ascii="Verdana" w:hAnsi="Verdana"/>
              <w:color w:val="222222"/>
              <w:sz w:val="21"/>
              <w:szCs w:val="21"/>
            </w:rPr>
            <w:t xml:space="preserve"> giriş keseneği ve primleri tutarının, yıllık beyannameye göre  yararlanılması mümkün olan kısmı; gelir vergisi mükelleflerince beyan edilen  gelirden indirilebilecek, kalan kısmı indirim konusu yapılamayacaktır.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proofErr w:type="spellStart"/>
          <w:r>
            <w:rPr>
              <w:rStyle w:val="Gl"/>
              <w:rFonts w:ascii="Verdana" w:hAnsi="Verdana"/>
              <w:color w:val="808080"/>
              <w:sz w:val="21"/>
              <w:szCs w:val="21"/>
              <w:u w:val="single"/>
            </w:rPr>
            <w:t>Bağ-</w:t>
          </w:r>
          <w:proofErr w:type="gramStart"/>
          <w:r>
            <w:rPr>
              <w:rStyle w:val="Gl"/>
              <w:rFonts w:ascii="Verdana" w:hAnsi="Verdana"/>
              <w:color w:val="808080"/>
              <w:sz w:val="21"/>
              <w:szCs w:val="21"/>
              <w:u w:val="single"/>
            </w:rPr>
            <w:t>Kur</w:t>
          </w:r>
          <w:proofErr w:type="spellEnd"/>
          <w:r>
            <w:rPr>
              <w:rStyle w:val="Gl"/>
              <w:rFonts w:ascii="Verdana" w:hAnsi="Verdana"/>
              <w:color w:val="808080"/>
              <w:sz w:val="21"/>
              <w:szCs w:val="21"/>
              <w:u w:val="single"/>
            </w:rPr>
            <w:t>  primleri</w:t>
          </w:r>
          <w:proofErr w:type="gramEnd"/>
          <w:r>
            <w:rPr>
              <w:rStyle w:val="Gl"/>
              <w:rFonts w:ascii="Verdana" w:hAnsi="Verdana"/>
              <w:color w:val="808080"/>
              <w:sz w:val="21"/>
              <w:szCs w:val="21"/>
              <w:u w:val="single"/>
            </w:rPr>
            <w:t xml:space="preserve"> beyanname üzerinde “Diğer İndirimler” sütununda gösterilir.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Geçici verginin kapsadığı dönemler, beyanname verme ve ödeme zamanları nedir?</w:t>
          </w:r>
          <w:r>
            <w:rPr>
              <w:rFonts w:ascii="Verdana" w:hAnsi="Verdana"/>
              <w:noProof/>
              <w:color w:val="222222"/>
              <w:sz w:val="21"/>
              <w:szCs w:val="21"/>
            </w:rPr>
            <w:drawing>
              <wp:inline distT="0" distB="0" distL="0" distR="0">
                <wp:extent cx="2705100" cy="561975"/>
                <wp:effectExtent l="0" t="0" r="0" b="9525"/>
                <wp:docPr id="1" name="Resim 1" descr="gecicivergi-tab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gecicivergi-tab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Yeni işe başlayan, işi bırakan ve tasfiyeye giren mükelleflerde geçici vergi nasıl uygulanacaktır?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Fonts w:ascii="Verdana" w:hAnsi="Verdana"/>
              <w:color w:val="222222"/>
              <w:sz w:val="21"/>
              <w:szCs w:val="21"/>
            </w:rPr>
            <w:t xml:space="preserve">Yeni işe başlayan </w:t>
          </w:r>
          <w:proofErr w:type="gramStart"/>
          <w:r>
            <w:rPr>
              <w:rFonts w:ascii="Verdana" w:hAnsi="Verdana"/>
              <w:color w:val="222222"/>
              <w:sz w:val="21"/>
              <w:szCs w:val="21"/>
            </w:rPr>
            <w:t>mükellefler,  faaliyete</w:t>
          </w:r>
          <w:proofErr w:type="gramEnd"/>
          <w:r>
            <w:rPr>
              <w:rFonts w:ascii="Verdana" w:hAnsi="Verdana"/>
              <w:color w:val="222222"/>
              <w:sz w:val="21"/>
              <w:szCs w:val="21"/>
            </w:rPr>
            <w:t xml:space="preserve"> başladıkları tarihin içinde bulunduğu geçici vergi döneminden  itibaren geçici vergi ödemeye başlayacaklardır.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Fonts w:ascii="Verdana" w:hAnsi="Verdana"/>
              <w:color w:val="222222"/>
              <w:sz w:val="21"/>
              <w:szCs w:val="21"/>
            </w:rPr>
            <w:t xml:space="preserve">İşin bırakılması halinde </w:t>
          </w:r>
          <w:proofErr w:type="gramStart"/>
          <w:r>
            <w:rPr>
              <w:rFonts w:ascii="Verdana" w:hAnsi="Verdana"/>
              <w:color w:val="222222"/>
              <w:sz w:val="21"/>
              <w:szCs w:val="21"/>
            </w:rPr>
            <w:t>ise  işin</w:t>
          </w:r>
          <w:proofErr w:type="gramEnd"/>
          <w:r>
            <w:rPr>
              <w:rFonts w:ascii="Verdana" w:hAnsi="Verdana"/>
              <w:color w:val="222222"/>
              <w:sz w:val="21"/>
              <w:szCs w:val="21"/>
            </w:rPr>
            <w:t xml:space="preserve"> bırakıldığı tarihi içeren dönemden sonraki dönemler için geçici vergi  beyannamesi verilmeyecektir.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Fonts w:ascii="Verdana" w:hAnsi="Verdana"/>
              <w:color w:val="222222"/>
              <w:sz w:val="21"/>
              <w:szCs w:val="21"/>
            </w:rPr>
            <w:t xml:space="preserve">Ticaret siciline tescil edilerek tasfiyeye </w:t>
          </w:r>
          <w:proofErr w:type="gramStart"/>
          <w:r>
            <w:rPr>
              <w:rFonts w:ascii="Verdana" w:hAnsi="Verdana"/>
              <w:color w:val="222222"/>
              <w:sz w:val="21"/>
              <w:szCs w:val="21"/>
            </w:rPr>
            <w:t>giren  kurumlar</w:t>
          </w:r>
          <w:proofErr w:type="gramEnd"/>
          <w:r>
            <w:rPr>
              <w:rFonts w:ascii="Verdana" w:hAnsi="Verdana"/>
              <w:color w:val="222222"/>
              <w:sz w:val="21"/>
              <w:szCs w:val="21"/>
            </w:rPr>
            <w:t xml:space="preserve"> tasfiyeye girdikleri tarihi ihtiva eden geçici vergi dönem kazançları  üzerinden geçici vergi ödeyecekler,</w:t>
          </w:r>
          <w:r>
            <w:rPr>
              <w:rStyle w:val="Gl"/>
              <w:rFonts w:ascii="Verdana" w:hAnsi="Verdana"/>
              <w:color w:val="222222"/>
              <w:sz w:val="21"/>
              <w:szCs w:val="21"/>
            </w:rPr>
            <w:t> </w:t>
          </w:r>
          <w:r>
            <w:rPr>
              <w:rStyle w:val="Gl"/>
              <w:rFonts w:ascii="Verdana" w:hAnsi="Verdana"/>
              <w:color w:val="808080"/>
              <w:sz w:val="21"/>
              <w:szCs w:val="21"/>
              <w:u w:val="single"/>
            </w:rPr>
            <w:t>bu dönemden sonraki tasfiye dönemlerinde  geçici vergi beyannamesi vermeyeceklerdir.</w:t>
          </w:r>
        </w:p>
        <w:p w:rsidR="00F864C3" w:rsidRDefault="00F864C3" w:rsidP="00F864C3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Verdana" w:hAnsi="Verdana"/>
              <w:color w:val="222222"/>
              <w:sz w:val="21"/>
              <w:szCs w:val="21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Özel İnşaat yapan firmalar geçici vergi beyannamesi verir mi?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Fonts w:ascii="Verdana" w:hAnsi="Verdana"/>
              <w:color w:val="222222"/>
              <w:sz w:val="21"/>
              <w:szCs w:val="21"/>
            </w:rPr>
            <w:t>Yıllara sâri inşaat ve onarma işi yapan firmalar hariç, tüm inşaat firmaları geçici vergi beyannamesi verirler.</w:t>
          </w:r>
        </w:p>
        <w:p w:rsidR="008A58FE" w:rsidRPr="0055418B" w:rsidRDefault="00F864C3" w:rsidP="00F864C3">
          <w:pPr>
            <w:spacing w:after="0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tr-TR"/>
            </w:rPr>
          </w:pPr>
          <w:r>
            <w:rPr>
              <w:rStyle w:val="Gl"/>
              <w:rFonts w:ascii="Verdana" w:hAnsi="Verdana"/>
              <w:color w:val="1E73BE"/>
              <w:sz w:val="21"/>
              <w:szCs w:val="21"/>
            </w:rPr>
            <w:t>Bilanço esasına göre defter tutan gelir ve kurumlar vergisi mükellefleri geçmiş yıl zararlarını geçici vergiden mahsup edebilirler mi?</w:t>
          </w:r>
          <w:r>
            <w:rPr>
              <w:rFonts w:ascii="Verdana" w:hAnsi="Verdana"/>
              <w:b/>
              <w:bCs/>
              <w:color w:val="1E73BE"/>
              <w:sz w:val="21"/>
              <w:szCs w:val="21"/>
            </w:rPr>
            <w:br/>
          </w:r>
          <w:r>
            <w:rPr>
              <w:rFonts w:ascii="Verdana" w:hAnsi="Verdana"/>
              <w:color w:val="222222"/>
              <w:sz w:val="21"/>
              <w:szCs w:val="21"/>
            </w:rPr>
            <w:t>Geçici vergi matrahının hesaplanmasında, gelir vergisi matrahlarının tespitinde indirimi mümkün olan geçmiş yıl zararları dikkate alınacaktır</w:t>
          </w:r>
        </w:p>
        <w:p w:rsidR="00380006" w:rsidRPr="00B0278F" w:rsidRDefault="008A58FE" w:rsidP="00D87E29">
          <w:pPr>
            <w:rPr>
              <w:rFonts w:asciiTheme="majorHAnsi" w:hAnsiTheme="majorHAnsi"/>
            </w:rPr>
          </w:pPr>
          <w:r w:rsidRPr="0055418B">
            <w:rPr>
              <w:rFonts w:ascii="Verdana" w:eastAsia="Times New Roman" w:hAnsi="Verdana" w:cs="Times New Roman"/>
              <w:color w:val="000000"/>
              <w:sz w:val="24"/>
              <w:szCs w:val="24"/>
              <w:lang w:val="de-DE" w:eastAsia="tr-TR"/>
            </w:rPr>
            <w:t> </w:t>
          </w:r>
        </w:p>
        <w:p w:rsidR="00380006" w:rsidRPr="00B0278F" w:rsidRDefault="00380006" w:rsidP="00380006">
          <w:r w:rsidRPr="00B0278F">
            <w:lastRenderedPageBreak/>
            <w:br w:type="page"/>
          </w:r>
        </w:p>
      </w:sdtContent>
    </w:sdt>
    <w:p w:rsidR="00DB369A" w:rsidRPr="00DB369A" w:rsidRDefault="00DB369A" w:rsidP="00EE5D83">
      <w:pPr>
        <w:tabs>
          <w:tab w:val="left" w:pos="1560"/>
          <w:tab w:val="center" w:pos="4536"/>
        </w:tabs>
        <w:rPr>
          <w:sz w:val="24"/>
          <w:szCs w:val="24"/>
        </w:rPr>
      </w:pPr>
    </w:p>
    <w:p w:rsidR="00DB369A" w:rsidRDefault="00DB369A" w:rsidP="00C24EE7"/>
    <w:p w:rsidR="00DB369A" w:rsidRDefault="00DB369A" w:rsidP="00C24EE7"/>
    <w:p w:rsidR="00DB369A" w:rsidRDefault="00DB369A" w:rsidP="00C24EE7"/>
    <w:sectPr w:rsidR="00DB369A" w:rsidSect="00D65D11">
      <w:footerReference w:type="default" r:id="rId11"/>
      <w:footerReference w:type="first" r:id="rId12"/>
      <w:pgSz w:w="11906" w:h="16838"/>
      <w:pgMar w:top="1417" w:right="1417" w:bottom="1417" w:left="1417" w:header="708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941" w:rsidRDefault="00D71941" w:rsidP="00185224">
      <w:pPr>
        <w:spacing w:before="0" w:after="0"/>
      </w:pPr>
      <w:r>
        <w:separator/>
      </w:r>
    </w:p>
  </w:endnote>
  <w:endnote w:type="continuationSeparator" w:id="0">
    <w:p w:rsidR="00D71941" w:rsidRDefault="00D71941" w:rsidP="00185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!importan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5EF9" w:rsidRPr="004F5EF9" w:rsidRDefault="004F5EF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inorEastAsia" w:hAnsiTheme="majorHAnsi" w:cs="Segoe UI"/>
        <w:noProof/>
        <w:sz w:val="16"/>
        <w:szCs w:val="16"/>
      </w:rPr>
    </w:pPr>
    <w:r w:rsidRPr="004C7A92">
      <w:rPr>
        <w:rFonts w:asciiTheme="majorHAnsi" w:eastAsiaTheme="minorEastAsia" w:hAnsiTheme="majorHAnsi" w:cs="Segoe UI"/>
        <w:b/>
        <w:noProof/>
        <w:sz w:val="16"/>
        <w:szCs w:val="16"/>
      </w:rPr>
      <w:t>S.M.Mali Müşavir Ayhan Bayar</w:t>
    </w:r>
    <w:r w:rsidRPr="004C7A92">
      <w:rPr>
        <w:rFonts w:asciiTheme="majorHAnsi" w:eastAsiaTheme="minorEastAsia" w:hAnsiTheme="majorHAnsi" w:cs="Segoe UI"/>
        <w:noProof/>
        <w:sz w:val="16"/>
        <w:szCs w:val="16"/>
      </w:rPr>
      <w:t xml:space="preserve"> 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ptab w:relativeTo="margin" w:alignment="left" w:leader="none"/>
    </w:r>
    <w:r w:rsidRPr="004C7A92">
      <w:rPr>
        <w:rFonts w:asciiTheme="majorHAnsi" w:eastAsiaTheme="minorEastAsia" w:hAnsiTheme="majorHAnsi" w:cs="Segoe UI"/>
        <w:noProof/>
        <w:sz w:val="16"/>
        <w:szCs w:val="16"/>
      </w:rPr>
      <w:t xml:space="preserve">Aşirefendi Caddesi Emir Han N.14 Da.402 Sirkeci Eminönü İstanbul Tel: +90 212 5206429   +90 532 2948719  </w:t>
    </w:r>
    <w:r w:rsidRPr="004C7A92">
      <w:rPr>
        <w:rFonts w:asciiTheme="majorHAnsi" w:eastAsiaTheme="minorEastAsia" w:hAnsiTheme="majorHAnsi" w:cs="Segoe UI"/>
        <w:noProof/>
        <w:sz w:val="16"/>
        <w:szCs w:val="16"/>
      </w:rPr>
      <w:tab/>
      <w:t xml:space="preserve"> </w:t>
    </w:r>
    <w:hyperlink r:id="rId1" w:history="1">
      <w:r w:rsidRPr="004C7A92">
        <w:rPr>
          <w:rStyle w:val="Kpr"/>
          <w:rFonts w:asciiTheme="majorHAnsi" w:eastAsiaTheme="minorEastAsia" w:hAnsiTheme="majorHAnsi" w:cs="Segoe UI"/>
          <w:noProof/>
          <w:sz w:val="16"/>
          <w:szCs w:val="16"/>
        </w:rPr>
        <w:t>www.ayhanbayar.com</w:t>
      </w:r>
    </w:hyperlink>
    <w:r>
      <w:t xml:space="preserve">  </w:t>
    </w:r>
    <w:r>
      <w:tab/>
    </w:r>
    <w:r w:rsidR="00D100C9">
      <w:fldChar w:fldCharType="begin"/>
    </w:r>
    <w:r w:rsidR="00D100C9">
      <w:instrText xml:space="preserve"> PAGE   \* MERGEFORMAT </w:instrText>
    </w:r>
    <w:r w:rsidR="00D100C9">
      <w:fldChar w:fldCharType="separate"/>
    </w:r>
    <w:r w:rsidR="0082775D" w:rsidRPr="0082775D">
      <w:rPr>
        <w:rFonts w:asciiTheme="majorHAnsi" w:hAnsiTheme="majorHAnsi"/>
        <w:noProof/>
      </w:rPr>
      <w:t>4</w:t>
    </w:r>
    <w:r w:rsidR="00D100C9"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97C" w:rsidRDefault="0066797C">
    <w:pPr>
      <w:pStyle w:val="AltBilgi"/>
    </w:pPr>
    <w:r w:rsidRPr="00103C65">
      <w:rPr>
        <w:rFonts w:asciiTheme="majorHAnsi" w:eastAsiaTheme="minorEastAsia" w:hAnsiTheme="majorHAnsi" w:cs="Segoe UI"/>
        <w:b/>
        <w:noProof/>
        <w:sz w:val="20"/>
        <w:szCs w:val="20"/>
      </w:rPr>
      <w:t>S.M.Mali Müşavir Ayhan Bayar</w:t>
    </w:r>
    <w:r w:rsidRPr="004C7A92">
      <w:rPr>
        <w:rFonts w:asciiTheme="majorHAnsi" w:eastAsiaTheme="minorEastAsia" w:hAnsiTheme="majorHAnsi" w:cs="Segoe UI"/>
        <w:noProof/>
        <w:sz w:val="16"/>
        <w:szCs w:val="16"/>
      </w:rPr>
      <w:t xml:space="preserve"> </w:t>
    </w:r>
    <w:r w:rsidRPr="00103C65">
      <w:rPr>
        <w:rFonts w:asciiTheme="majorHAnsi" w:hAnsiTheme="majorHAnsi"/>
        <w:sz w:val="20"/>
        <w:szCs w:val="20"/>
      </w:rPr>
      <w:ptab w:relativeTo="margin" w:alignment="center" w:leader="none"/>
    </w:r>
    <w:r w:rsidRPr="00103C65">
      <w:rPr>
        <w:rFonts w:asciiTheme="majorHAnsi" w:hAnsiTheme="majorHAnsi"/>
        <w:sz w:val="20"/>
        <w:szCs w:val="20"/>
      </w:rPr>
      <w:ptab w:relativeTo="margin" w:alignment="left" w:leader="none"/>
    </w:r>
    <w:r w:rsidRPr="00103C65">
      <w:rPr>
        <w:rFonts w:asciiTheme="majorHAnsi" w:eastAsiaTheme="minorEastAsia" w:hAnsiTheme="majorHAnsi" w:cs="Segoe UI"/>
        <w:noProof/>
        <w:sz w:val="20"/>
        <w:szCs w:val="20"/>
      </w:rPr>
      <w:t>Aşirefendi Caddesi Emir Han N.14 Da.402 Sirkeci Eminönü İstanbul</w:t>
    </w:r>
    <w:r w:rsidRPr="004C7A92">
      <w:rPr>
        <w:rFonts w:asciiTheme="majorHAnsi" w:eastAsiaTheme="minorEastAsia" w:hAnsiTheme="majorHAnsi" w:cs="Segoe UI"/>
        <w:noProof/>
        <w:sz w:val="16"/>
        <w:szCs w:val="16"/>
      </w:rPr>
      <w:t xml:space="preserve"> Tel: +90 212 5206429   +90 532 2948719  </w:t>
    </w:r>
    <w:r w:rsidRPr="004C7A92">
      <w:rPr>
        <w:rFonts w:asciiTheme="majorHAnsi" w:eastAsiaTheme="minorEastAsia" w:hAnsiTheme="majorHAnsi" w:cs="Segoe UI"/>
        <w:noProof/>
        <w:sz w:val="16"/>
        <w:szCs w:val="16"/>
      </w:rPr>
      <w:tab/>
      <w:t xml:space="preserve"> </w:t>
    </w:r>
    <w:hyperlink r:id="rId1" w:history="1">
      <w:r w:rsidRPr="00103C65">
        <w:rPr>
          <w:rStyle w:val="Kpr"/>
          <w:rFonts w:asciiTheme="majorHAnsi" w:eastAsiaTheme="minorEastAsia" w:hAnsiTheme="majorHAnsi" w:cs="Segoe UI"/>
          <w:noProof/>
        </w:rPr>
        <w:t>www.ayhanbayar.com</w:t>
      </w:r>
    </w:hyperlink>
    <w:r w:rsidRPr="00103C65">
      <w:t xml:space="preserve">  </w:t>
    </w:r>
    <w:r w:rsidRPr="00103C65">
      <w:rPr>
        <w:rFonts w:asciiTheme="majorHAnsi" w:eastAsiaTheme="minorEastAsia" w:hAnsiTheme="majorHAnsi" w:cs="Segoe UI"/>
        <w:b/>
        <w:noProof/>
      </w:rPr>
      <w:t>S.M.Mali Müşavir Ayhan Bayar</w:t>
    </w:r>
  </w:p>
  <w:p w:rsidR="0066797C" w:rsidRDefault="006679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941" w:rsidRDefault="00D71941" w:rsidP="00185224">
      <w:pPr>
        <w:spacing w:before="0" w:after="0"/>
      </w:pPr>
      <w:r>
        <w:separator/>
      </w:r>
    </w:p>
  </w:footnote>
  <w:footnote w:type="continuationSeparator" w:id="0">
    <w:p w:rsidR="00D71941" w:rsidRDefault="00D71941" w:rsidP="001852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6EE2"/>
    <w:multiLevelType w:val="multilevel"/>
    <w:tmpl w:val="22F8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60E1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6B4505"/>
    <w:multiLevelType w:val="multilevel"/>
    <w:tmpl w:val="27CA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B17B9"/>
    <w:multiLevelType w:val="multilevel"/>
    <w:tmpl w:val="48B82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CD070D7"/>
    <w:multiLevelType w:val="hybridMultilevel"/>
    <w:tmpl w:val="7C1257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C4B3C"/>
    <w:multiLevelType w:val="multilevel"/>
    <w:tmpl w:val="21D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954F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E644F9"/>
    <w:multiLevelType w:val="multilevel"/>
    <w:tmpl w:val="AD7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51F48"/>
    <w:multiLevelType w:val="multilevel"/>
    <w:tmpl w:val="5836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36AC0"/>
    <w:multiLevelType w:val="multilevel"/>
    <w:tmpl w:val="109E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56222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7F4BAA"/>
    <w:multiLevelType w:val="multilevel"/>
    <w:tmpl w:val="E17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61E00"/>
    <w:multiLevelType w:val="multilevel"/>
    <w:tmpl w:val="1F7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D51C6"/>
    <w:multiLevelType w:val="multilevel"/>
    <w:tmpl w:val="C0A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E0274"/>
    <w:multiLevelType w:val="multilevel"/>
    <w:tmpl w:val="B160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93DE2"/>
    <w:multiLevelType w:val="multilevel"/>
    <w:tmpl w:val="A73C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15A0B"/>
    <w:multiLevelType w:val="multilevel"/>
    <w:tmpl w:val="2AA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C62DF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4B142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3A4DDC"/>
    <w:multiLevelType w:val="multilevel"/>
    <w:tmpl w:val="4A4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27C60"/>
    <w:multiLevelType w:val="multilevel"/>
    <w:tmpl w:val="7BB41DB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C7646"/>
    <w:multiLevelType w:val="multilevel"/>
    <w:tmpl w:val="6CB6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463A2"/>
    <w:multiLevelType w:val="multilevel"/>
    <w:tmpl w:val="1330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F274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637986"/>
    <w:multiLevelType w:val="multilevel"/>
    <w:tmpl w:val="CB0A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F6CF5"/>
    <w:multiLevelType w:val="multilevel"/>
    <w:tmpl w:val="A47C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5744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D9551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24"/>
  </w:num>
  <w:num w:numId="6">
    <w:abstractNumId w:val="5"/>
  </w:num>
  <w:num w:numId="7">
    <w:abstractNumId w:val="13"/>
  </w:num>
  <w:num w:numId="8">
    <w:abstractNumId w:val="11"/>
  </w:num>
  <w:num w:numId="9">
    <w:abstractNumId w:val="25"/>
  </w:num>
  <w:num w:numId="10">
    <w:abstractNumId w:val="19"/>
  </w:num>
  <w:num w:numId="11">
    <w:abstractNumId w:val="22"/>
  </w:num>
  <w:num w:numId="12">
    <w:abstractNumId w:val="27"/>
  </w:num>
  <w:num w:numId="13">
    <w:abstractNumId w:val="6"/>
  </w:num>
  <w:num w:numId="14">
    <w:abstractNumId w:val="20"/>
  </w:num>
  <w:num w:numId="15">
    <w:abstractNumId w:val="1"/>
  </w:num>
  <w:num w:numId="16">
    <w:abstractNumId w:val="17"/>
  </w:num>
  <w:num w:numId="17">
    <w:abstractNumId w:val="10"/>
  </w:num>
  <w:num w:numId="18">
    <w:abstractNumId w:val="23"/>
  </w:num>
  <w:num w:numId="19">
    <w:abstractNumId w:val="26"/>
  </w:num>
  <w:num w:numId="20">
    <w:abstractNumId w:val="4"/>
  </w:num>
  <w:num w:numId="21">
    <w:abstractNumId w:val="18"/>
  </w:num>
  <w:num w:numId="22">
    <w:abstractNumId w:val="3"/>
  </w:num>
  <w:num w:numId="23">
    <w:abstractNumId w:val="15"/>
  </w:num>
  <w:num w:numId="24">
    <w:abstractNumId w:val="7"/>
  </w:num>
  <w:num w:numId="25">
    <w:abstractNumId w:val="12"/>
  </w:num>
  <w:num w:numId="26">
    <w:abstractNumId w:val="2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6B"/>
    <w:rsid w:val="000349D2"/>
    <w:rsid w:val="00077123"/>
    <w:rsid w:val="00080E01"/>
    <w:rsid w:val="00082C6B"/>
    <w:rsid w:val="000A2638"/>
    <w:rsid w:val="000B5514"/>
    <w:rsid w:val="000D5528"/>
    <w:rsid w:val="000E39BA"/>
    <w:rsid w:val="000E499D"/>
    <w:rsid w:val="00103C65"/>
    <w:rsid w:val="00105414"/>
    <w:rsid w:val="00131C07"/>
    <w:rsid w:val="00161515"/>
    <w:rsid w:val="0017185C"/>
    <w:rsid w:val="00185224"/>
    <w:rsid w:val="001A0ADD"/>
    <w:rsid w:val="001A6518"/>
    <w:rsid w:val="001B3B25"/>
    <w:rsid w:val="001C5A82"/>
    <w:rsid w:val="001C63F9"/>
    <w:rsid w:val="001D3B15"/>
    <w:rsid w:val="001F23DF"/>
    <w:rsid w:val="001F6DB9"/>
    <w:rsid w:val="00213B39"/>
    <w:rsid w:val="002362A8"/>
    <w:rsid w:val="002370B9"/>
    <w:rsid w:val="0024190E"/>
    <w:rsid w:val="00244EED"/>
    <w:rsid w:val="00267898"/>
    <w:rsid w:val="00291F2C"/>
    <w:rsid w:val="002A68D0"/>
    <w:rsid w:val="002B6BF5"/>
    <w:rsid w:val="00315BEC"/>
    <w:rsid w:val="003338CB"/>
    <w:rsid w:val="00333A82"/>
    <w:rsid w:val="00380006"/>
    <w:rsid w:val="003B37AD"/>
    <w:rsid w:val="003D4D7E"/>
    <w:rsid w:val="003D7A40"/>
    <w:rsid w:val="00404A0C"/>
    <w:rsid w:val="00416E1E"/>
    <w:rsid w:val="004228BB"/>
    <w:rsid w:val="00437D4E"/>
    <w:rsid w:val="00451F64"/>
    <w:rsid w:val="00453471"/>
    <w:rsid w:val="00465FC1"/>
    <w:rsid w:val="004974D8"/>
    <w:rsid w:val="004D3C53"/>
    <w:rsid w:val="004E1B0F"/>
    <w:rsid w:val="004F5EF9"/>
    <w:rsid w:val="005313A8"/>
    <w:rsid w:val="00557141"/>
    <w:rsid w:val="00560E49"/>
    <w:rsid w:val="005723E9"/>
    <w:rsid w:val="0057493B"/>
    <w:rsid w:val="00586751"/>
    <w:rsid w:val="005934FE"/>
    <w:rsid w:val="005960C1"/>
    <w:rsid w:val="005A7241"/>
    <w:rsid w:val="005B6E54"/>
    <w:rsid w:val="005C2539"/>
    <w:rsid w:val="005C488F"/>
    <w:rsid w:val="005D5652"/>
    <w:rsid w:val="00602540"/>
    <w:rsid w:val="0065460C"/>
    <w:rsid w:val="0066797C"/>
    <w:rsid w:val="006D56A3"/>
    <w:rsid w:val="006E16AA"/>
    <w:rsid w:val="006E5E59"/>
    <w:rsid w:val="006F1E82"/>
    <w:rsid w:val="00704C83"/>
    <w:rsid w:val="00710E42"/>
    <w:rsid w:val="00714361"/>
    <w:rsid w:val="00726619"/>
    <w:rsid w:val="00736B5E"/>
    <w:rsid w:val="00745EBE"/>
    <w:rsid w:val="00756D8C"/>
    <w:rsid w:val="00771AEE"/>
    <w:rsid w:val="007A142B"/>
    <w:rsid w:val="007A50F2"/>
    <w:rsid w:val="007B5CCD"/>
    <w:rsid w:val="007E5CBE"/>
    <w:rsid w:val="00813F5C"/>
    <w:rsid w:val="008223FB"/>
    <w:rsid w:val="0082775D"/>
    <w:rsid w:val="00827F69"/>
    <w:rsid w:val="00873EC2"/>
    <w:rsid w:val="00886A60"/>
    <w:rsid w:val="00887329"/>
    <w:rsid w:val="008A58FE"/>
    <w:rsid w:val="008C7A39"/>
    <w:rsid w:val="008E1138"/>
    <w:rsid w:val="008F01FA"/>
    <w:rsid w:val="00907986"/>
    <w:rsid w:val="00907E1E"/>
    <w:rsid w:val="0092604E"/>
    <w:rsid w:val="00935BCC"/>
    <w:rsid w:val="00962585"/>
    <w:rsid w:val="00970323"/>
    <w:rsid w:val="00984EFB"/>
    <w:rsid w:val="009871F7"/>
    <w:rsid w:val="00990CB4"/>
    <w:rsid w:val="009A6015"/>
    <w:rsid w:val="009C5D40"/>
    <w:rsid w:val="009D4F78"/>
    <w:rsid w:val="009D54CE"/>
    <w:rsid w:val="009E49D1"/>
    <w:rsid w:val="00A07054"/>
    <w:rsid w:val="00A308D6"/>
    <w:rsid w:val="00A31016"/>
    <w:rsid w:val="00A43CDA"/>
    <w:rsid w:val="00A52516"/>
    <w:rsid w:val="00A7495E"/>
    <w:rsid w:val="00A8417A"/>
    <w:rsid w:val="00AA5111"/>
    <w:rsid w:val="00AC3C3C"/>
    <w:rsid w:val="00AE290E"/>
    <w:rsid w:val="00B17793"/>
    <w:rsid w:val="00B55415"/>
    <w:rsid w:val="00B72D7A"/>
    <w:rsid w:val="00B7568E"/>
    <w:rsid w:val="00B9248C"/>
    <w:rsid w:val="00B93B1B"/>
    <w:rsid w:val="00B958BC"/>
    <w:rsid w:val="00B97C97"/>
    <w:rsid w:val="00BB06A9"/>
    <w:rsid w:val="00C24EE7"/>
    <w:rsid w:val="00C51724"/>
    <w:rsid w:val="00C6267E"/>
    <w:rsid w:val="00C9262D"/>
    <w:rsid w:val="00CB6EE1"/>
    <w:rsid w:val="00CF7AE4"/>
    <w:rsid w:val="00D100C9"/>
    <w:rsid w:val="00D13E37"/>
    <w:rsid w:val="00D20DAC"/>
    <w:rsid w:val="00D4792D"/>
    <w:rsid w:val="00D54D8E"/>
    <w:rsid w:val="00D609F2"/>
    <w:rsid w:val="00D65D11"/>
    <w:rsid w:val="00D71941"/>
    <w:rsid w:val="00D73D7E"/>
    <w:rsid w:val="00D75081"/>
    <w:rsid w:val="00D87E29"/>
    <w:rsid w:val="00DA269A"/>
    <w:rsid w:val="00DA4825"/>
    <w:rsid w:val="00DB369A"/>
    <w:rsid w:val="00DB7190"/>
    <w:rsid w:val="00DD2A08"/>
    <w:rsid w:val="00E3548E"/>
    <w:rsid w:val="00E429F8"/>
    <w:rsid w:val="00E63239"/>
    <w:rsid w:val="00E63D9E"/>
    <w:rsid w:val="00E66144"/>
    <w:rsid w:val="00E82F3E"/>
    <w:rsid w:val="00E83636"/>
    <w:rsid w:val="00EC2AAC"/>
    <w:rsid w:val="00EE5D83"/>
    <w:rsid w:val="00EE720D"/>
    <w:rsid w:val="00EE7C2D"/>
    <w:rsid w:val="00F249AF"/>
    <w:rsid w:val="00F30C4F"/>
    <w:rsid w:val="00F34953"/>
    <w:rsid w:val="00F5261A"/>
    <w:rsid w:val="00F52E7C"/>
    <w:rsid w:val="00F56CEC"/>
    <w:rsid w:val="00F61605"/>
    <w:rsid w:val="00F765F1"/>
    <w:rsid w:val="00F864C3"/>
    <w:rsid w:val="00FA5E07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7E0D23"/>
  <w15:docId w15:val="{4475F4A6-1B57-4FF9-86C7-FB2EBCDA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82"/>
  </w:style>
  <w:style w:type="paragraph" w:styleId="Balk1">
    <w:name w:val="heading 1"/>
    <w:basedOn w:val="Normal"/>
    <w:next w:val="Normal"/>
    <w:link w:val="Balk1Char"/>
    <w:uiPriority w:val="9"/>
    <w:qFormat/>
    <w:rsid w:val="001B3B25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3B25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B3B25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B25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B25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B3B25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B25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B25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B25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-rtecustom-toggletitle">
    <w:name w:val="ms-rtecustom-toggletitle"/>
    <w:basedOn w:val="VarsaylanParagrafYazTipi"/>
    <w:rsid w:val="006D56A3"/>
  </w:style>
  <w:style w:type="character" w:customStyle="1" w:styleId="ms-rtecustom-togglecontent1">
    <w:name w:val="ms-rtecustom-togglecontent1"/>
    <w:basedOn w:val="VarsaylanParagrafYazTipi"/>
    <w:rsid w:val="006D56A3"/>
    <w:rPr>
      <w:vanish/>
      <w:webHidden w:val="0"/>
      <w:bdr w:val="single" w:sz="6" w:space="7" w:color="E7E7E7" w:frame="1"/>
      <w:shd w:val="clear" w:color="auto" w:fill="FFFFFF"/>
      <w:specVanish w:val="0"/>
    </w:rPr>
  </w:style>
  <w:style w:type="character" w:customStyle="1" w:styleId="ms-rtecustom-altbaslikkirmizi">
    <w:name w:val="ms-rtecustom-altbaslikkirmizi"/>
    <w:basedOn w:val="VarsaylanParagrafYazTipi"/>
    <w:rsid w:val="007A142B"/>
  </w:style>
  <w:style w:type="character" w:styleId="Gl">
    <w:name w:val="Strong"/>
    <w:basedOn w:val="VarsaylanParagrafYazTipi"/>
    <w:uiPriority w:val="22"/>
    <w:qFormat/>
    <w:rsid w:val="007A142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14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4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5224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85224"/>
  </w:style>
  <w:style w:type="paragraph" w:styleId="AltBilgi">
    <w:name w:val="footer"/>
    <w:basedOn w:val="Normal"/>
    <w:link w:val="AltBilgiChar"/>
    <w:uiPriority w:val="99"/>
    <w:unhideWhenUsed/>
    <w:rsid w:val="00185224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85224"/>
  </w:style>
  <w:style w:type="character" w:styleId="Kpr">
    <w:name w:val="Hyperlink"/>
    <w:basedOn w:val="VarsaylanParagrafYazTipi"/>
    <w:semiHidden/>
    <w:unhideWhenUsed/>
    <w:rsid w:val="00D13E37"/>
    <w:rPr>
      <w:color w:val="0066CC"/>
      <w:u w:val="single"/>
    </w:rPr>
  </w:style>
  <w:style w:type="paragraph" w:styleId="AralkYok">
    <w:name w:val="No Spacing"/>
    <w:link w:val="AralkYokChar"/>
    <w:uiPriority w:val="1"/>
    <w:qFormat/>
    <w:rsid w:val="00D65D11"/>
    <w:pPr>
      <w:spacing w:before="0" w:beforeAutospacing="0" w:after="0" w:afterAutospacing="0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D65D11"/>
    <w:rPr>
      <w:rFonts w:eastAsiaTheme="minorEastAsia"/>
    </w:rPr>
  </w:style>
  <w:style w:type="paragraph" w:customStyle="1" w:styleId="Style11">
    <w:name w:val="Style11"/>
    <w:basedOn w:val="Normal"/>
    <w:rsid w:val="001B3B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8">
    <w:name w:val="Font Style28"/>
    <w:basedOn w:val="VarsaylanParagrafYazTipi"/>
    <w:rsid w:val="001B3B25"/>
    <w:rPr>
      <w:rFonts w:ascii="Times New Roman" w:hAnsi="Times New Roman" w:cs="Times New Roman"/>
      <w:b/>
      <w:bCs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B3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B3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B3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B3B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1B3B25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11"/>
    <w:qFormat/>
    <w:rsid w:val="002419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2419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64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hanbayar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hanbayar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han%20Bayar\Desktop\RapoFormatr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*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195743-DEC1-4701-826E-8A877BF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RapoFormatr</Template>
  <TotalTime>1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[İş Teklifi]</vt:lpstr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[Steuern]</dc:subject>
  <dc:creator>Ayhan Bayar</dc:creator>
  <cp:lastModifiedBy>Ayhan BAYAR</cp:lastModifiedBy>
  <cp:revision>2</cp:revision>
  <cp:lastPrinted>2016-11-01T09:31:00Z</cp:lastPrinted>
  <dcterms:created xsi:type="dcterms:W3CDTF">2020-05-16T07:08:00Z</dcterms:created>
  <dcterms:modified xsi:type="dcterms:W3CDTF">2020-05-16T07:08:00Z</dcterms:modified>
</cp:coreProperties>
</file>